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2E517B">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17</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2521928</w:t>
      </w:r>
    </w:p>
    <w:p w14:paraId="10470028">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Dallas, USA, Nov. 17-21</w:t>
      </w:r>
      <w:r>
        <w:rPr>
          <w:rFonts w:ascii="Arial" w:hAnsi="Arial" w:eastAsia="宋体" w:cs="Arial"/>
          <w:b/>
          <w:sz w:val="24"/>
          <w:szCs w:val="24"/>
          <w:lang w:eastAsia="zh-CN"/>
        </w:rPr>
        <w:t>, 202</w:t>
      </w:r>
      <w:r>
        <w:rPr>
          <w:rFonts w:hint="eastAsia" w:eastAsia="宋体" w:cs="Arial"/>
          <w:b/>
          <w:sz w:val="24"/>
          <w:szCs w:val="24"/>
          <w:lang w:val="en-US" w:eastAsia="zh-CN"/>
        </w:rPr>
        <w:t>5</w:t>
      </w:r>
    </w:p>
    <w:p w14:paraId="46875E7E">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4470E630">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1121510C">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performance of R19 ATG</w:t>
      </w:r>
    </w:p>
    <w:p w14:paraId="133BFA2A">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6.7.3</w:t>
      </w:r>
    </w:p>
    <w:p w14:paraId="6793215E">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5C2E69F2">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3876A0E9">
      <w:pPr>
        <w:pStyle w:val="12"/>
        <w:bidi w:val="0"/>
        <w:rPr>
          <w:rFonts w:hint="default" w:cs="Arial"/>
          <w:lang w:val="en-US" w:eastAsia="zh-CN"/>
        </w:rPr>
      </w:pPr>
      <w:r>
        <w:rPr>
          <w:rFonts w:hint="eastAsia" w:cs="Arial"/>
          <w:lang w:val="en-US" w:eastAsia="zh-CN"/>
        </w:rPr>
        <w:t>Until last RAN4 meeting, after good progress achieved, the core part of R19 ATG has been completed and almost all issues have been concluded in perf part discussion, only some small issues were left to address in maintenance phase[1]. In this paper, after the review on all progress in perf part, we provide our further discussion on the left issues.</w:t>
      </w:r>
    </w:p>
    <w:p w14:paraId="21C4A5D2">
      <w:pPr>
        <w:pStyle w:val="2"/>
        <w:keepNext w:val="0"/>
        <w:keepLines w:val="0"/>
        <w:pageBreakBefore w:val="0"/>
        <w:widowControl w:val="0"/>
        <w:numPr>
          <w:ilvl w:val="0"/>
          <w:numId w:val="5"/>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4DB311FB">
      <w:pPr>
        <w:pStyle w:val="12"/>
        <w:bidi w:val="0"/>
        <w:rPr>
          <w:rFonts w:hint="eastAsia" w:cs="Arial"/>
          <w:lang w:val="en-US" w:eastAsia="zh-CN"/>
        </w:rPr>
      </w:pPr>
      <w:r>
        <w:rPr>
          <w:rFonts w:hint="eastAsia" w:cs="Arial"/>
          <w:lang w:val="en-US" w:eastAsia="zh-CN"/>
        </w:rPr>
        <w:t xml:space="preserve">In last meeting, regarding the test case, only one remaining issue was left, i.e. whether and how to introduce Event triggered reporting on SCC with deactivated SCell with the neighbour cell measurement skipping indication. </w:t>
      </w:r>
    </w:p>
    <w:p w14:paraId="5EE2CCA3">
      <w:pPr>
        <w:pStyle w:val="12"/>
        <w:bidi w:val="0"/>
        <w:rPr>
          <w:rFonts w:hint="eastAsia" w:cs="Arial"/>
          <w:lang w:val="en-US" w:eastAsia="zh-CN"/>
        </w:rPr>
      </w:pPr>
      <w:r>
        <w:rPr>
          <w:rFonts w:hint="eastAsia" w:cs="Arial"/>
          <w:lang w:val="en-US" w:eastAsia="zh-CN"/>
        </w:rPr>
        <w:t>Since the deployment of ATG in CA case is introduced in R19, so the measurement procedure on SCC is to be verified, together with the test motivation of interruption due to deactivated SCC measurement. Another new feature is the SCC neighbour cell measurement skipping, which is introduced in R19 and need to be verified.</w:t>
      </w:r>
    </w:p>
    <w:p w14:paraId="0E56FD11">
      <w:pPr>
        <w:pStyle w:val="12"/>
        <w:bidi w:val="0"/>
        <w:rPr>
          <w:rFonts w:hint="eastAsia" w:cs="Arial"/>
          <w:lang w:val="en-US" w:eastAsia="zh-CN"/>
        </w:rPr>
      </w:pPr>
      <w:r>
        <w:rPr>
          <w:rFonts w:hint="eastAsia" w:cs="Arial"/>
          <w:lang w:val="en-US" w:eastAsia="zh-CN"/>
        </w:rPr>
        <w:t xml:space="preserve">To simplify the test case design, we prefer to verify the basic measurement procedure on SCC(with neighbour cell measurement) and the reduced measurement procedure on SCC(skipping the neighbour cell measurement) in one test case with two sub cases. So that unified test configuration could be used for the two sub cases only except the SCC neighbour cell measurement skipping indication. The advantage of this solution lies in the two sub cases could be fairly verified since unified test configuration is shared. While it should be noted that for the sub case of skipping neighbour cell measurement, the test requirement is kind of unique, different from typical test requirements, i.e. no reporting receiving is deem as the test requirement. </w:t>
      </w:r>
    </w:p>
    <w:p w14:paraId="022170E8">
      <w:pPr>
        <w:pStyle w:val="12"/>
        <w:bidi w:val="0"/>
        <w:rPr>
          <w:rFonts w:hint="default" w:cs="Arial"/>
          <w:lang w:val="en-US" w:eastAsia="zh-CN"/>
        </w:rPr>
      </w:pPr>
      <w:r>
        <w:rPr>
          <w:rFonts w:hint="eastAsia" w:cs="Arial"/>
          <w:lang w:val="en-US" w:eastAsia="zh-CN"/>
        </w:rPr>
        <w:t>Another solution is to verify the basic measurement procedure on SCC and the reduced measurement procedure on SCC in separate test case respectively. The test configuration of basic measurement procedure on SCC has been provided in [1], i.e. event A6 is configured at the MO of SCC. Regarding how to verify the reduced measurement procedure on SCC, since UE does not measure the neighbour cell(s) of SCC, if any measurement reporting is expected to verify the measurement procedure, Event A1 or A2 is applicable. Since the actual scaling factor N1 for antenna phase array could not be verified in FR1 conduct test, whether UE performs the neighbour cell measurement, which could only be verified through the measurement report. Based on the specification in clause 5.5.5.1 of [2], the UE needs to report the best neighbour cell</w:t>
      </w:r>
      <w:r>
        <w:rPr>
          <w:rFonts w:hint="default" w:cs="Arial"/>
          <w:lang w:val="en-US" w:eastAsia="zh-CN"/>
        </w:rPr>
        <w:t>’</w:t>
      </w:r>
      <w:r>
        <w:rPr>
          <w:rFonts w:hint="eastAsia" w:cs="Arial"/>
          <w:lang w:val="en-US" w:eastAsia="zh-CN"/>
        </w:rPr>
        <w:t xml:space="preserve">s measurement result as long as the IE </w:t>
      </w:r>
      <w:r>
        <w:rPr>
          <w:rFonts w:hint="eastAsia" w:cs="Arial"/>
          <w:i/>
          <w:iCs/>
          <w:lang w:val="en-US" w:eastAsia="zh-CN"/>
        </w:rPr>
        <w:t xml:space="preserve">reportAddNeighMeas </w:t>
      </w:r>
      <w:r>
        <w:rPr>
          <w:rFonts w:hint="eastAsia" w:cs="Arial"/>
          <w:lang w:val="en-US" w:eastAsia="zh-CN"/>
        </w:rPr>
        <w:t xml:space="preserve">is configured in the </w:t>
      </w:r>
      <w:r>
        <w:rPr>
          <w:rFonts w:hint="eastAsia" w:cs="Arial"/>
          <w:i/>
          <w:iCs/>
          <w:lang w:val="en-US" w:eastAsia="zh-CN"/>
        </w:rPr>
        <w:t>reportConfig</w:t>
      </w:r>
      <w:r>
        <w:rPr>
          <w:rFonts w:hint="eastAsia" w:cs="Arial"/>
          <w:lang w:val="en-US" w:eastAsia="zh-CN"/>
        </w:rPr>
        <w:t>. As a result, this IE could be configured associated with the MO of SCC and Event A1/A2 is used.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DC53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B051DF9">
            <w:pPr>
              <w:pStyle w:val="34"/>
              <w:autoSpaceDE w:val="0"/>
              <w:autoSpaceDN w:val="0"/>
              <w:adjustRightInd w:val="0"/>
              <w:spacing w:after="0" w:line="240" w:lineRule="auto"/>
              <w:ind w:left="0" w:leftChars="0" w:firstLine="0" w:firstLineChars="0"/>
              <w:rPr>
                <w:highlight w:val="none"/>
              </w:rPr>
            </w:pPr>
            <w:r>
              <w:t>1&gt;</w:t>
            </w:r>
            <w:r>
              <w:tab/>
            </w:r>
            <w:r>
              <w:t xml:space="preserve">if the </w:t>
            </w:r>
            <w:r>
              <w:rPr>
                <w:i/>
              </w:rPr>
              <w:t>reportConfig</w:t>
            </w:r>
            <w:r>
              <w:t xml:space="preserve"> associated with the </w:t>
            </w:r>
            <w:r>
              <w:rPr>
                <w:i/>
              </w:rPr>
              <w:t>measId</w:t>
            </w:r>
            <w:r>
              <w:t xml:space="preserve"> that triggered the measurement reporting includes </w:t>
            </w:r>
            <w:r>
              <w:rPr>
                <w:i/>
                <w:highlight w:val="yellow"/>
              </w:rPr>
              <w:t>reportAddNeighMeas</w:t>
            </w:r>
            <w:r>
              <w:rPr>
                <w:highlight w:val="none"/>
              </w:rPr>
              <w:t>:</w:t>
            </w:r>
          </w:p>
          <w:p w14:paraId="4771F521">
            <w:pPr>
              <w:pStyle w:val="62"/>
              <w:numPr>
                <w:ilvl w:val="0"/>
                <w:numId w:val="0"/>
              </w:numPr>
              <w:autoSpaceDE w:val="0"/>
              <w:autoSpaceDN w:val="0"/>
              <w:adjustRightInd w:val="0"/>
              <w:spacing w:after="0" w:line="240" w:lineRule="auto"/>
              <w:ind w:leftChars="200"/>
              <w:rPr>
                <w:highlight w:val="none"/>
              </w:rPr>
            </w:pPr>
            <w:r>
              <w:rPr>
                <w:highlight w:val="none"/>
              </w:rPr>
              <w:t>2&gt;</w:t>
            </w:r>
            <w:r>
              <w:rPr>
                <w:highlight w:val="none"/>
              </w:rPr>
              <w:tab/>
            </w:r>
            <w:r>
              <w:rPr>
                <w:highlight w:val="none"/>
              </w:rPr>
              <w:t xml:space="preserve">for each </w:t>
            </w:r>
            <w:r>
              <w:rPr>
                <w:i/>
                <w:highlight w:val="none"/>
              </w:rPr>
              <w:t>measObjectId</w:t>
            </w:r>
            <w:r>
              <w:rPr>
                <w:highlight w:val="none"/>
              </w:rPr>
              <w:t xml:space="preserve"> referenced in the </w:t>
            </w:r>
            <w:r>
              <w:rPr>
                <w:i/>
                <w:highlight w:val="none"/>
              </w:rPr>
              <w:t xml:space="preserve">measIdList </w:t>
            </w:r>
            <w:r>
              <w:rPr>
                <w:highlight w:val="none"/>
              </w:rPr>
              <w:t>which is also referenced with</w:t>
            </w:r>
            <w:r>
              <w:rPr>
                <w:i/>
                <w:highlight w:val="none"/>
              </w:rPr>
              <w:t xml:space="preserve"> servingCellMO</w:t>
            </w:r>
            <w:r>
              <w:rPr>
                <w:highlight w:val="none"/>
              </w:rPr>
              <w:t xml:space="preserve">, other than the </w:t>
            </w:r>
            <w:r>
              <w:rPr>
                <w:i/>
                <w:highlight w:val="none"/>
              </w:rPr>
              <w:t>measObjectId</w:t>
            </w:r>
            <w:r>
              <w:rPr>
                <w:highlight w:val="none"/>
              </w:rPr>
              <w:t xml:space="preserve"> corresponding with the </w:t>
            </w:r>
            <w:r>
              <w:rPr>
                <w:i/>
                <w:highlight w:val="none"/>
              </w:rPr>
              <w:t>measId</w:t>
            </w:r>
            <w:r>
              <w:rPr>
                <w:highlight w:val="none"/>
              </w:rPr>
              <w:t xml:space="preserve"> that triggered the measurement reporting:</w:t>
            </w:r>
          </w:p>
          <w:p w14:paraId="43F2EEEB">
            <w:pPr>
              <w:pStyle w:val="69"/>
              <w:numPr>
                <w:ilvl w:val="0"/>
                <w:numId w:val="0"/>
              </w:numPr>
              <w:autoSpaceDE w:val="0"/>
              <w:autoSpaceDN w:val="0"/>
              <w:adjustRightInd w:val="0"/>
              <w:spacing w:after="0" w:line="240" w:lineRule="auto"/>
              <w:ind w:leftChars="400"/>
              <w:rPr>
                <w:highlight w:val="none"/>
              </w:rPr>
            </w:pPr>
            <w:r>
              <w:rPr>
                <w:highlight w:val="none"/>
              </w:rPr>
              <w:t>3&gt;</w:t>
            </w:r>
            <w:r>
              <w:rPr>
                <w:highlight w:val="none"/>
              </w:rPr>
              <w:tab/>
            </w:r>
            <w:r>
              <w:rPr>
                <w:highlight w:val="none"/>
              </w:rPr>
              <w:t xml:space="preserve">if the </w:t>
            </w:r>
            <w:r>
              <w:rPr>
                <w:i/>
                <w:highlight w:val="none"/>
              </w:rPr>
              <w:t>measObjectNR</w:t>
            </w:r>
            <w:r>
              <w:rPr>
                <w:highlight w:val="none"/>
              </w:rPr>
              <w:t xml:space="preserve"> indicated by the </w:t>
            </w:r>
            <w:r>
              <w:rPr>
                <w:i/>
                <w:highlight w:val="none"/>
              </w:rPr>
              <w:t>servingCellMO</w:t>
            </w:r>
            <w:r>
              <w:rPr>
                <w:highlight w:val="none"/>
              </w:rPr>
              <w:t xml:space="preserve"> includes the RS resource configuration corresponding to the </w:t>
            </w:r>
            <w:r>
              <w:rPr>
                <w:i/>
                <w:highlight w:val="none"/>
              </w:rPr>
              <w:t>rsType</w:t>
            </w:r>
            <w:r>
              <w:rPr>
                <w:highlight w:val="none"/>
              </w:rPr>
              <w:t xml:space="preserve"> indicated in the </w:t>
            </w:r>
            <w:r>
              <w:rPr>
                <w:i/>
                <w:highlight w:val="none"/>
              </w:rPr>
              <w:t>reportConfig</w:t>
            </w:r>
            <w:r>
              <w:rPr>
                <w:highlight w:val="none"/>
              </w:rPr>
              <w:t>:</w:t>
            </w:r>
          </w:p>
          <w:p w14:paraId="404B5C42">
            <w:pPr>
              <w:pStyle w:val="71"/>
              <w:numPr>
                <w:ilvl w:val="0"/>
                <w:numId w:val="0"/>
              </w:numPr>
              <w:autoSpaceDE w:val="0"/>
              <w:autoSpaceDN w:val="0"/>
              <w:adjustRightInd w:val="0"/>
              <w:spacing w:after="0" w:line="240" w:lineRule="auto"/>
              <w:ind w:leftChars="600"/>
              <w:rPr>
                <w:rFonts w:hint="eastAsia"/>
                <w:lang w:val="en-US" w:eastAsia="zh-CN"/>
              </w:rPr>
            </w:pPr>
            <w:r>
              <w:rPr>
                <w:highlight w:val="none"/>
              </w:rPr>
              <w:t>4&gt;</w:t>
            </w:r>
            <w:r>
              <w:rPr>
                <w:highlight w:val="none"/>
              </w:rPr>
              <w:tab/>
            </w:r>
            <w:r>
              <w:rPr>
                <w:highlight w:val="none"/>
              </w:rPr>
              <w:t xml:space="preserve">set the </w:t>
            </w:r>
            <w:r>
              <w:rPr>
                <w:i/>
                <w:highlight w:val="none"/>
              </w:rPr>
              <w:t>measResultBestNeighCell</w:t>
            </w:r>
            <w:r>
              <w:rPr>
                <w:highlight w:val="none"/>
              </w:rPr>
              <w:t xml:space="preserve"> wit</w:t>
            </w:r>
            <w:r>
              <w:t xml:space="preserve">hin </w:t>
            </w:r>
            <w:r>
              <w:rPr>
                <w:i/>
              </w:rPr>
              <w:t xml:space="preserve">measResultServingMOList </w:t>
            </w:r>
            <w:r>
              <w:t xml:space="preserve">to include the </w:t>
            </w:r>
            <w:r>
              <w:rPr>
                <w:i/>
              </w:rPr>
              <w:t>physCellId</w:t>
            </w:r>
            <w:r>
              <w:t xml:space="preserve"> and the available measurement quantities based on the </w:t>
            </w:r>
            <w:r>
              <w:rPr>
                <w:rFonts w:eastAsia="宋体"/>
                <w:i/>
              </w:rPr>
              <w:t>reportQuantityCell</w:t>
            </w:r>
            <w:r>
              <w:rPr>
                <w:rFonts w:eastAsia="宋体"/>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DengXian"/>
              </w:rPr>
              <w:t>SINR</w:t>
            </w:r>
            <w:r>
              <w:t>;</w:t>
            </w:r>
            <w:r>
              <w:rPr>
                <w:rFonts w:hint="eastAsia"/>
                <w:lang w:val="en-US" w:eastAsia="zh-CN"/>
              </w:rPr>
              <w:t xml:space="preserve"> </w:t>
            </w:r>
          </w:p>
          <w:p w14:paraId="7C2D6A38">
            <w:pPr>
              <w:pStyle w:val="71"/>
              <w:numPr>
                <w:ilvl w:val="0"/>
                <w:numId w:val="0"/>
              </w:numPr>
              <w:autoSpaceDE w:val="0"/>
              <w:autoSpaceDN w:val="0"/>
              <w:adjustRightInd w:val="0"/>
              <w:spacing w:after="0" w:line="240" w:lineRule="auto"/>
              <w:ind w:leftChars="600"/>
              <w:rPr>
                <w:i/>
              </w:rPr>
            </w:pPr>
            <w:r>
              <w:t>4&gt;</w:t>
            </w:r>
            <w:r>
              <w:tab/>
            </w:r>
            <w:r>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77249CD7">
            <w:pPr>
              <w:pStyle w:val="71"/>
              <w:numPr>
                <w:ilvl w:val="0"/>
                <w:numId w:val="0"/>
              </w:numPr>
              <w:autoSpaceDE w:val="0"/>
              <w:autoSpaceDN w:val="0"/>
              <w:adjustRightInd w:val="0"/>
              <w:spacing w:after="0" w:line="240" w:lineRule="auto"/>
              <w:ind w:leftChars="800"/>
            </w:pPr>
            <w:r>
              <w:t>5&gt;</w:t>
            </w:r>
            <w:r>
              <w:tab/>
            </w:r>
            <w:r>
              <w:t>for each best non-serving cell included in the measurement report:</w:t>
            </w:r>
          </w:p>
          <w:p w14:paraId="5FE27125">
            <w:pPr>
              <w:pStyle w:val="73"/>
              <w:numPr>
                <w:ilvl w:val="0"/>
                <w:numId w:val="0"/>
              </w:numPr>
              <w:spacing w:after="0" w:line="240" w:lineRule="auto"/>
              <w:ind w:left="1985" w:leftChars="0"/>
              <w:rPr>
                <w:rFonts w:hint="default" w:cs="Arial"/>
                <w:vertAlign w:val="baseline"/>
                <w:lang w:val="en-US" w:eastAsia="zh-CN"/>
              </w:rPr>
            </w:pPr>
            <w:r>
              <w:rPr>
                <w:lang w:val="en-GB"/>
              </w:rPr>
              <w:t>6&gt;</w:t>
            </w:r>
            <w:r>
              <w:rPr>
                <w:lang w:val="en-GB"/>
              </w:rPr>
              <w:tab/>
            </w:r>
            <w:r>
              <w:rPr>
                <w:lang w:val="en-GB"/>
              </w:rPr>
              <w:t xml:space="preserve">include beam measurement information according to the associated </w:t>
            </w:r>
            <w:r>
              <w:rPr>
                <w:i/>
                <w:lang w:val="en-GB"/>
              </w:rPr>
              <w:t>reportConfig</w:t>
            </w:r>
            <w:r>
              <w:rPr>
                <w:lang w:val="en-GB"/>
              </w:rPr>
              <w:t xml:space="preserve"> as described in 5.5.5.2;</w:t>
            </w:r>
            <w:r>
              <w:rPr>
                <w:rFonts w:hint="eastAsia" w:eastAsia="宋体"/>
                <w:lang w:val="en-US" w:eastAsia="zh-CN"/>
              </w:rPr>
              <w:t xml:space="preserve"> </w:t>
            </w:r>
          </w:p>
        </w:tc>
      </w:tr>
    </w:tbl>
    <w:p w14:paraId="10CE7FDC">
      <w:pPr>
        <w:pStyle w:val="12"/>
        <w:bidi w:val="0"/>
        <w:rPr>
          <w:rFonts w:hint="default" w:cs="Arial"/>
          <w:lang w:val="en-US" w:eastAsia="zh-CN"/>
        </w:rPr>
      </w:pPr>
      <w:r>
        <w:rPr>
          <w:rFonts w:hint="eastAsia" w:cs="Arial"/>
          <w:lang w:val="en-US" w:eastAsia="zh-CN"/>
        </w:rPr>
        <w:t>Based on above analysis, the above two solutions are both feasible to verify the normal measurement procedure and reduced measurement procedure, either is fine to us. While it is necessary to ensure such configurations would not conflict with UE self-checking for all the NW configurations.</w:t>
      </w:r>
    </w:p>
    <w:p w14:paraId="08EFE96E">
      <w:pPr>
        <w:pStyle w:val="12"/>
        <w:bidi w:val="0"/>
        <w:rPr>
          <w:rFonts w:hint="eastAsia"/>
          <w:b/>
          <w:bCs/>
          <w:lang w:val="en-US" w:eastAsia="zh-CN"/>
        </w:rPr>
      </w:pPr>
      <w:r>
        <w:rPr>
          <w:rFonts w:hint="eastAsia"/>
          <w:b/>
          <w:bCs/>
          <w:lang w:val="en-US" w:eastAsia="zh-CN"/>
        </w:rPr>
        <w:t>Proposal 1: To verify the normal measurement procedure and reduced measurement procedure on SCC, two solutions are both feasible as long as the configurations are confirmed by UE self-checking:</w:t>
      </w:r>
    </w:p>
    <w:p w14:paraId="783BFD91">
      <w:pPr>
        <w:pStyle w:val="12"/>
        <w:numPr>
          <w:ilvl w:val="0"/>
          <w:numId w:val="6"/>
        </w:numPr>
        <w:bidi w:val="0"/>
        <w:ind w:left="420" w:leftChars="0" w:hanging="420" w:firstLineChars="0"/>
        <w:rPr>
          <w:rFonts w:hint="default"/>
          <w:b/>
          <w:bCs/>
          <w:lang w:val="en-US" w:eastAsia="zh-CN"/>
        </w:rPr>
      </w:pPr>
      <w:r>
        <w:rPr>
          <w:rFonts w:hint="eastAsia"/>
          <w:b/>
          <w:bCs/>
          <w:lang w:val="en-US" w:eastAsia="zh-CN"/>
        </w:rPr>
        <w:t>Solution 1: Verify the two sub cases in one test case and Event A6 is configured, same test configurations are shared for the two sub cases only except the NW indication of neighbour cell measurement skipping.</w:t>
      </w:r>
    </w:p>
    <w:p w14:paraId="26FCD65F">
      <w:pPr>
        <w:pStyle w:val="12"/>
        <w:numPr>
          <w:ilvl w:val="0"/>
          <w:numId w:val="6"/>
        </w:numPr>
        <w:bidi w:val="0"/>
        <w:ind w:left="420" w:leftChars="0" w:hanging="420" w:firstLineChars="0"/>
        <w:rPr>
          <w:rFonts w:hint="default"/>
          <w:b/>
          <w:bCs/>
          <w:lang w:val="en-US" w:eastAsia="zh-CN"/>
        </w:rPr>
      </w:pPr>
      <w:r>
        <w:rPr>
          <w:rFonts w:hint="eastAsia"/>
          <w:b/>
          <w:bCs/>
          <w:lang w:val="en-US" w:eastAsia="zh-CN"/>
        </w:rPr>
        <w:t>Solution 2: Verify the normal measurement procedure and reduced measurement procedure in separate test cases. Event A6 is configured for the former, Event A2 and the IE reportAddNeighMeas are configured for the latter.</w:t>
      </w:r>
    </w:p>
    <w:p w14:paraId="718A7254">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322A5BD9">
      <w:pPr>
        <w:pStyle w:val="12"/>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perf part of R19 ATG</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7DDD57DB">
      <w:pPr>
        <w:pStyle w:val="12"/>
        <w:bidi w:val="0"/>
        <w:rPr>
          <w:rFonts w:hint="eastAsia"/>
          <w:b/>
          <w:bCs/>
          <w:lang w:val="en-US" w:eastAsia="zh-CN"/>
        </w:rPr>
      </w:pPr>
      <w:r>
        <w:rPr>
          <w:rFonts w:hint="eastAsia"/>
          <w:b/>
          <w:bCs/>
          <w:lang w:val="en-US" w:eastAsia="zh-CN"/>
        </w:rPr>
        <w:t>Proposal 1: To verify the normal measurement procedure and reduced measurement procedure on SCC, two solutions are both feasible as long as the configurations are confirmed by UE self-checking:</w:t>
      </w:r>
    </w:p>
    <w:p w14:paraId="3A5EBCF6">
      <w:pPr>
        <w:pStyle w:val="12"/>
        <w:numPr>
          <w:ilvl w:val="0"/>
          <w:numId w:val="6"/>
        </w:numPr>
        <w:bidi w:val="0"/>
        <w:ind w:left="420" w:leftChars="0" w:hanging="420" w:firstLineChars="0"/>
        <w:rPr>
          <w:rFonts w:hint="default"/>
          <w:b/>
          <w:bCs/>
          <w:lang w:val="en-US" w:eastAsia="zh-CN"/>
        </w:rPr>
      </w:pPr>
      <w:r>
        <w:rPr>
          <w:rFonts w:hint="eastAsia"/>
          <w:b/>
          <w:bCs/>
          <w:lang w:val="en-US" w:eastAsia="zh-CN"/>
        </w:rPr>
        <w:t xml:space="preserve">Solution 1: Verify the two sub cases in one test case and Event </w:t>
      </w:r>
      <w:bookmarkStart w:id="0" w:name="_GoBack"/>
      <w:bookmarkEnd w:id="0"/>
      <w:r>
        <w:rPr>
          <w:rFonts w:hint="eastAsia"/>
          <w:b/>
          <w:bCs/>
          <w:lang w:val="en-US" w:eastAsia="zh-CN"/>
        </w:rPr>
        <w:t>A6 is configured, same test configurations are shared for the two sub cases only except the NW indication of neighbour cell measurement skipping.</w:t>
      </w:r>
    </w:p>
    <w:p w14:paraId="6BFD0948">
      <w:pPr>
        <w:pStyle w:val="12"/>
        <w:numPr>
          <w:ilvl w:val="0"/>
          <w:numId w:val="6"/>
        </w:numPr>
        <w:bidi w:val="0"/>
        <w:ind w:left="420" w:leftChars="0" w:hanging="420" w:firstLineChars="0"/>
        <w:rPr>
          <w:rFonts w:hint="eastAsia" w:eastAsia="宋体"/>
          <w:bCs/>
          <w:color w:val="auto"/>
          <w:sz w:val="20"/>
          <w:szCs w:val="20"/>
          <w:lang w:val="en-US" w:eastAsia="zh-CN"/>
        </w:rPr>
      </w:pPr>
      <w:r>
        <w:rPr>
          <w:rFonts w:hint="eastAsia"/>
          <w:b/>
          <w:bCs/>
          <w:lang w:val="en-US" w:eastAsia="zh-CN"/>
        </w:rPr>
        <w:t>Solution 2: Verify the normal measurement procedure and reduced measurement procedure in separate test cases. Event A6 is configured for the former, Event A2 and the IE reportAddNeighMeas are configured for the latter.</w:t>
      </w:r>
    </w:p>
    <w:p w14:paraId="0853D004">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5370B163">
      <w:pPr>
        <w:pStyle w:val="7"/>
        <w:numPr>
          <w:ilvl w:val="0"/>
          <w:numId w:val="7"/>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R4-2514795, </w:t>
      </w:r>
      <w:r>
        <w:rPr>
          <w:rFonts w:hint="default"/>
          <w:color w:val="auto"/>
          <w:sz w:val="20"/>
          <w:szCs w:val="20"/>
          <w:highlight w:val="none"/>
          <w:lang w:val="en-US" w:eastAsia="zh-CN"/>
        </w:rPr>
        <w:t>“WF on NR_ATG_enh_RRM”</w:t>
      </w:r>
      <w:r>
        <w:rPr>
          <w:rFonts w:hint="eastAsia"/>
          <w:color w:val="auto"/>
          <w:sz w:val="20"/>
          <w:szCs w:val="20"/>
          <w:highlight w:val="none"/>
          <w:lang w:val="en-US" w:eastAsia="zh-CN"/>
        </w:rPr>
        <w:t>, CMCC, 3GPP TSG-RAN WG4 Meeting #116bis.</w:t>
      </w:r>
    </w:p>
    <w:p w14:paraId="15C62CFB">
      <w:pPr>
        <w:pStyle w:val="7"/>
        <w:numPr>
          <w:ilvl w:val="0"/>
          <w:numId w:val="7"/>
        </w:numPr>
        <w:ind w:leftChars="0"/>
        <w:rPr>
          <w:rFonts w:hint="eastAsia"/>
          <w:color w:val="auto"/>
          <w:sz w:val="20"/>
          <w:szCs w:val="20"/>
          <w:highlight w:val="none"/>
          <w:lang w:val="en-US" w:eastAsia="zh-CN"/>
        </w:rPr>
      </w:pPr>
      <w:r>
        <w:rPr>
          <w:rFonts w:hint="eastAsia"/>
          <w:color w:val="auto"/>
          <w:sz w:val="20"/>
          <w:szCs w:val="20"/>
          <w:highlight w:val="none"/>
          <w:lang w:val="en-US" w:eastAsia="zh-CN"/>
        </w:rPr>
        <w:t>TS 38.331 v18.7.0</w:t>
      </w:r>
    </w:p>
    <w:p w14:paraId="07DC6960">
      <w:pPr>
        <w:pStyle w:val="7"/>
        <w:numPr>
          <w:ilvl w:val="0"/>
          <w:numId w:val="0"/>
        </w:numPr>
        <w:ind w:leftChars="0"/>
        <w:rPr>
          <w:rFonts w:hint="eastAsia"/>
          <w:color w:val="auto"/>
          <w:sz w:val="20"/>
          <w:szCs w:val="20"/>
          <w:highlight w:val="none"/>
          <w:lang w:val="en-US" w:eastAsia="zh-CN"/>
        </w:rPr>
      </w:pPr>
    </w:p>
    <w:p w14:paraId="11C87D1D">
      <w:pPr>
        <w:pStyle w:val="7"/>
        <w:numPr>
          <w:ilvl w:val="0"/>
          <w:numId w:val="0"/>
        </w:numPr>
        <w:ind w:leftChars="0"/>
        <w:rPr>
          <w:rFonts w:hint="eastAsia"/>
          <w:color w:val="auto"/>
          <w:sz w:val="20"/>
          <w:szCs w:val="20"/>
          <w:highlight w:val="none"/>
          <w:lang w:val="en-US" w:eastAsia="zh-CN"/>
        </w:rPr>
      </w:pPr>
    </w:p>
    <w:p w14:paraId="3E7C29CC">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FFF2B">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80838B"/>
    <w:multiLevelType w:val="singleLevel"/>
    <w:tmpl w:val="9B80838B"/>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BDF65F6"/>
    <w:multiLevelType w:val="multilevel"/>
    <w:tmpl w:val="4BDF65F6"/>
    <w:lvl w:ilvl="0" w:tentative="0">
      <w:start w:val="1"/>
      <w:numFmt w:val="decimal"/>
      <w:pStyle w:val="6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6E3167"/>
    <w:multiLevelType w:val="multilevel"/>
    <w:tmpl w:val="4D6E3167"/>
    <w:lvl w:ilvl="0" w:tentative="0">
      <w:start w:val="1"/>
      <w:numFmt w:val="decimal"/>
      <w:pStyle w:val="4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70"/>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3"/>
  </w:num>
  <w:num w:numId="4">
    <w:abstractNumId w:val="5"/>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E4F11"/>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83ED0"/>
    <w:rsid w:val="058A7125"/>
    <w:rsid w:val="058B74AD"/>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7F44F5E"/>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9F52A80"/>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730BE"/>
    <w:rsid w:val="0B993DEF"/>
    <w:rsid w:val="0BAF5541"/>
    <w:rsid w:val="0BB0429A"/>
    <w:rsid w:val="0BB97253"/>
    <w:rsid w:val="0BDE36C2"/>
    <w:rsid w:val="0BE1300C"/>
    <w:rsid w:val="0BFF5FC6"/>
    <w:rsid w:val="0C265CE3"/>
    <w:rsid w:val="0C394019"/>
    <w:rsid w:val="0C491F24"/>
    <w:rsid w:val="0C5D35AC"/>
    <w:rsid w:val="0C636AE4"/>
    <w:rsid w:val="0C6D1703"/>
    <w:rsid w:val="0C79371B"/>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DED523C"/>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B863AE"/>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D5B2A"/>
    <w:rsid w:val="113E3112"/>
    <w:rsid w:val="11425846"/>
    <w:rsid w:val="1146775F"/>
    <w:rsid w:val="1148425F"/>
    <w:rsid w:val="114A72FE"/>
    <w:rsid w:val="11543C70"/>
    <w:rsid w:val="11550B08"/>
    <w:rsid w:val="115C67A8"/>
    <w:rsid w:val="115D7DA8"/>
    <w:rsid w:val="116D0CDE"/>
    <w:rsid w:val="11756827"/>
    <w:rsid w:val="11944FFE"/>
    <w:rsid w:val="11951496"/>
    <w:rsid w:val="11972CBA"/>
    <w:rsid w:val="11A41805"/>
    <w:rsid w:val="11A819B4"/>
    <w:rsid w:val="11E12192"/>
    <w:rsid w:val="11E64E15"/>
    <w:rsid w:val="11E67EFD"/>
    <w:rsid w:val="11E70C39"/>
    <w:rsid w:val="11F02E4D"/>
    <w:rsid w:val="11F21955"/>
    <w:rsid w:val="120774A3"/>
    <w:rsid w:val="12282E47"/>
    <w:rsid w:val="122F64A8"/>
    <w:rsid w:val="12485D96"/>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0436D7"/>
    <w:rsid w:val="14150C68"/>
    <w:rsid w:val="14224008"/>
    <w:rsid w:val="142D415D"/>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5251C"/>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056B2"/>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DE00A1"/>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42609"/>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E62FE2"/>
    <w:rsid w:val="1FFD2FEE"/>
    <w:rsid w:val="200E61D2"/>
    <w:rsid w:val="201400DE"/>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D2AD7"/>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3379"/>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6E2049"/>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B6DD8"/>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46F70"/>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C546A"/>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3A6116"/>
    <w:rsid w:val="31526AB3"/>
    <w:rsid w:val="31927D00"/>
    <w:rsid w:val="319708F2"/>
    <w:rsid w:val="31B14C9E"/>
    <w:rsid w:val="31C44C64"/>
    <w:rsid w:val="31D75BEC"/>
    <w:rsid w:val="31EF09FD"/>
    <w:rsid w:val="31F34E0D"/>
    <w:rsid w:val="320346CB"/>
    <w:rsid w:val="320B6B59"/>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EA4A6F"/>
    <w:rsid w:val="38F2407A"/>
    <w:rsid w:val="38F95C2E"/>
    <w:rsid w:val="38FD559B"/>
    <w:rsid w:val="39003390"/>
    <w:rsid w:val="390F72CD"/>
    <w:rsid w:val="391A6696"/>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1C2899"/>
    <w:rsid w:val="3D220BB0"/>
    <w:rsid w:val="3D2251DD"/>
    <w:rsid w:val="3D235BF0"/>
    <w:rsid w:val="3D272081"/>
    <w:rsid w:val="3D316F98"/>
    <w:rsid w:val="3D3319A1"/>
    <w:rsid w:val="3D35070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07652"/>
    <w:rsid w:val="3F430A34"/>
    <w:rsid w:val="3F482A1F"/>
    <w:rsid w:val="3F5449DF"/>
    <w:rsid w:val="3F614632"/>
    <w:rsid w:val="3F6A6AC4"/>
    <w:rsid w:val="3F6B6300"/>
    <w:rsid w:val="3F7716E8"/>
    <w:rsid w:val="3F7F143C"/>
    <w:rsid w:val="3F8561CC"/>
    <w:rsid w:val="3F916157"/>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A63644"/>
    <w:rsid w:val="41C41CB7"/>
    <w:rsid w:val="41C4654D"/>
    <w:rsid w:val="41CB34B1"/>
    <w:rsid w:val="41D410B8"/>
    <w:rsid w:val="41EA1A7B"/>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89705D"/>
    <w:rsid w:val="43C40CB1"/>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0A6B7A"/>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C43D9A"/>
    <w:rsid w:val="4AD23E9E"/>
    <w:rsid w:val="4AD42F2D"/>
    <w:rsid w:val="4AE83B17"/>
    <w:rsid w:val="4B0B27B8"/>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BEF7421"/>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C34535"/>
    <w:rsid w:val="51FD3763"/>
    <w:rsid w:val="52023458"/>
    <w:rsid w:val="520C2013"/>
    <w:rsid w:val="52101974"/>
    <w:rsid w:val="52133783"/>
    <w:rsid w:val="521B1F74"/>
    <w:rsid w:val="521B66BE"/>
    <w:rsid w:val="521E5BC5"/>
    <w:rsid w:val="52526454"/>
    <w:rsid w:val="52580F82"/>
    <w:rsid w:val="525C1CEF"/>
    <w:rsid w:val="52632F70"/>
    <w:rsid w:val="526B0E22"/>
    <w:rsid w:val="528B5767"/>
    <w:rsid w:val="529435B7"/>
    <w:rsid w:val="529C69A9"/>
    <w:rsid w:val="52A05116"/>
    <w:rsid w:val="52A77D4F"/>
    <w:rsid w:val="52B72342"/>
    <w:rsid w:val="52BB600B"/>
    <w:rsid w:val="52C529D4"/>
    <w:rsid w:val="52D33625"/>
    <w:rsid w:val="52DB3CFD"/>
    <w:rsid w:val="52EB05D3"/>
    <w:rsid w:val="52EE4A1B"/>
    <w:rsid w:val="52FE0379"/>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E9355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33640"/>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951C16"/>
    <w:rsid w:val="58AE7BC9"/>
    <w:rsid w:val="58C270CB"/>
    <w:rsid w:val="58C62D76"/>
    <w:rsid w:val="58CF29FE"/>
    <w:rsid w:val="58D0053D"/>
    <w:rsid w:val="58D760D0"/>
    <w:rsid w:val="58E53798"/>
    <w:rsid w:val="58EB0542"/>
    <w:rsid w:val="59021A1C"/>
    <w:rsid w:val="590525A9"/>
    <w:rsid w:val="59296D9D"/>
    <w:rsid w:val="594B3F35"/>
    <w:rsid w:val="595E268E"/>
    <w:rsid w:val="596E3BBB"/>
    <w:rsid w:val="597B223C"/>
    <w:rsid w:val="5984486C"/>
    <w:rsid w:val="598B13F5"/>
    <w:rsid w:val="598C40A0"/>
    <w:rsid w:val="5998290B"/>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AFE32F1"/>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BC42DD"/>
    <w:rsid w:val="5CC75878"/>
    <w:rsid w:val="5CDD02C3"/>
    <w:rsid w:val="5CDF0826"/>
    <w:rsid w:val="5CEA2BC1"/>
    <w:rsid w:val="5CF74B37"/>
    <w:rsid w:val="5CF83B05"/>
    <w:rsid w:val="5D035192"/>
    <w:rsid w:val="5D070F7D"/>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3E699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5F0B4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6E2AE3"/>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6F6323"/>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1764A6"/>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70C2B"/>
    <w:rsid w:val="69A833BD"/>
    <w:rsid w:val="69A86D71"/>
    <w:rsid w:val="69B669A8"/>
    <w:rsid w:val="69C070C2"/>
    <w:rsid w:val="69C53327"/>
    <w:rsid w:val="69C80569"/>
    <w:rsid w:val="69E56543"/>
    <w:rsid w:val="69F37CD2"/>
    <w:rsid w:val="6A075E7A"/>
    <w:rsid w:val="6A0F1F08"/>
    <w:rsid w:val="6A1D4BAB"/>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C739E"/>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75E47"/>
    <w:rsid w:val="6E7D5F0D"/>
    <w:rsid w:val="6E8943C9"/>
    <w:rsid w:val="6E9D50CB"/>
    <w:rsid w:val="6E9E4C09"/>
    <w:rsid w:val="6EA629A2"/>
    <w:rsid w:val="6EB36C9B"/>
    <w:rsid w:val="6EB97A9D"/>
    <w:rsid w:val="6ECE29CC"/>
    <w:rsid w:val="6ED04309"/>
    <w:rsid w:val="6ED44019"/>
    <w:rsid w:val="6EDF586A"/>
    <w:rsid w:val="6EE640A8"/>
    <w:rsid w:val="6EF10A90"/>
    <w:rsid w:val="6F08254C"/>
    <w:rsid w:val="6F1218C9"/>
    <w:rsid w:val="6F1E0E67"/>
    <w:rsid w:val="6F2614AD"/>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0B1DD2"/>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9B6209"/>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60B4B"/>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C94015"/>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5447B"/>
    <w:rsid w:val="7D8D32FC"/>
    <w:rsid w:val="7D991C50"/>
    <w:rsid w:val="7DA76CFA"/>
    <w:rsid w:val="7DAD04AF"/>
    <w:rsid w:val="7DC43066"/>
    <w:rsid w:val="7DCC55DA"/>
    <w:rsid w:val="7DDA520A"/>
    <w:rsid w:val="7DDD0501"/>
    <w:rsid w:val="7DE234DC"/>
    <w:rsid w:val="7DE51372"/>
    <w:rsid w:val="7E075D2D"/>
    <w:rsid w:val="7E085776"/>
    <w:rsid w:val="7E0D3F64"/>
    <w:rsid w:val="7E0F3A80"/>
    <w:rsid w:val="7E1C120B"/>
    <w:rsid w:val="7E1F6540"/>
    <w:rsid w:val="7E4648AA"/>
    <w:rsid w:val="7E480ACC"/>
    <w:rsid w:val="7E535653"/>
    <w:rsid w:val="7E5E590F"/>
    <w:rsid w:val="7E601250"/>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3"/>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3"/>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Body Text"/>
    <w:basedOn w:val="1"/>
    <w:link w:val="27"/>
    <w:qFormat/>
    <w:uiPriority w:val="0"/>
    <w:pPr>
      <w:spacing w:after="120"/>
      <w:jc w:val="both"/>
    </w:pPr>
    <w:rPr>
      <w:rFonts w:eastAsia="MS Mincho"/>
      <w:lang w:val="zh-CN"/>
    </w:rPr>
  </w:style>
  <w:style w:type="paragraph" w:styleId="13">
    <w:name w:val="Date"/>
    <w:basedOn w:val="1"/>
    <w:next w:val="1"/>
    <w:link w:val="50"/>
    <w:semiHidden/>
    <w:unhideWhenUsed/>
    <w:qFormat/>
    <w:uiPriority w:val="99"/>
    <w:pPr>
      <w:ind w:left="100" w:leftChars="2500"/>
    </w:pPr>
  </w:style>
  <w:style w:type="paragraph" w:styleId="14">
    <w:name w:val="Balloon Text"/>
    <w:basedOn w:val="1"/>
    <w:link w:val="31"/>
    <w:semiHidden/>
    <w:unhideWhenUsed/>
    <w:qFormat/>
    <w:uiPriority w:val="99"/>
    <w:rPr>
      <w:sz w:val="18"/>
      <w:szCs w:val="18"/>
      <w:lang w:val="zh-CN"/>
    </w:rPr>
  </w:style>
  <w:style w:type="paragraph" w:styleId="15">
    <w:name w:val="footer"/>
    <w:basedOn w:val="1"/>
    <w:link w:val="30"/>
    <w:unhideWhenUsed/>
    <w:qFormat/>
    <w:uiPriority w:val="99"/>
    <w:pPr>
      <w:tabs>
        <w:tab w:val="center" w:pos="4153"/>
        <w:tab w:val="right" w:pos="8306"/>
      </w:tabs>
      <w:snapToGrid w:val="0"/>
    </w:pPr>
    <w:rPr>
      <w:sz w:val="18"/>
      <w:szCs w:val="18"/>
      <w:lang w:val="zh-CN"/>
    </w:rPr>
  </w:style>
  <w:style w:type="paragraph" w:styleId="16">
    <w:name w:val="header"/>
    <w:basedOn w:val="1"/>
    <w:link w:val="28"/>
    <w:qFormat/>
    <w:uiPriority w:val="0"/>
    <w:pPr>
      <w:tabs>
        <w:tab w:val="center" w:pos="4536"/>
        <w:tab w:val="right" w:pos="9072"/>
      </w:tabs>
    </w:pPr>
    <w:rPr>
      <w:rFonts w:ascii="Arial" w:hAnsi="Arial" w:eastAsia="MS Mincho"/>
      <w:b/>
      <w:lang w:val="zh-CN"/>
    </w:rPr>
  </w:style>
  <w:style w:type="paragraph" w:styleId="17">
    <w:name w:val="List 5"/>
    <w:basedOn w:val="18"/>
    <w:qFormat/>
    <w:uiPriority w:val="0"/>
    <w:pPr>
      <w:ind w:left="1702"/>
    </w:pPr>
  </w:style>
  <w:style w:type="paragraph" w:styleId="18">
    <w:name w:val="List 4"/>
    <w:basedOn w:val="6"/>
    <w:qFormat/>
    <w:uiPriority w:val="0"/>
    <w:pPr>
      <w:ind w:left="1418"/>
    </w:pPr>
  </w:style>
  <w:style w:type="paragraph" w:styleId="19">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semiHidden/>
    <w:qFormat/>
    <w:uiPriority w:val="0"/>
  </w:style>
  <w:style w:type="character" w:styleId="24">
    <w:name w:val="Hyperlink"/>
    <w:basedOn w:val="22"/>
    <w:qFormat/>
    <w:uiPriority w:val="99"/>
    <w:rPr>
      <w:color w:val="0000FF"/>
      <w:u w:val="single"/>
    </w:rPr>
  </w:style>
  <w:style w:type="character" w:customStyle="1" w:styleId="25">
    <w:name w:val="Heading 1 Char"/>
    <w:link w:val="2"/>
    <w:qFormat/>
    <w:uiPriority w:val="0"/>
    <w:rPr>
      <w:rFonts w:ascii="Helvetica" w:hAnsi="Helvetica" w:eastAsia="MS Mincho" w:cs="Times New Roman"/>
      <w:b/>
      <w:bCs/>
      <w:kern w:val="32"/>
      <w:sz w:val="28"/>
      <w:szCs w:val="32"/>
      <w:lang w:val="zh-CN" w:eastAsia="en-US"/>
    </w:rPr>
  </w:style>
  <w:style w:type="character" w:customStyle="1" w:styleId="26">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7">
    <w:name w:val="Body Text Char"/>
    <w:link w:val="12"/>
    <w:qFormat/>
    <w:uiPriority w:val="0"/>
    <w:rPr>
      <w:rFonts w:ascii="Times New Roman" w:hAnsi="Times New Roman" w:eastAsia="MS Mincho" w:cs="Times New Roman"/>
      <w:kern w:val="0"/>
      <w:sz w:val="20"/>
      <w:szCs w:val="24"/>
      <w:lang w:val="zh-CN" w:eastAsia="en-US"/>
    </w:rPr>
  </w:style>
  <w:style w:type="character" w:customStyle="1" w:styleId="28">
    <w:name w:val="Header Char"/>
    <w:link w:val="16"/>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Footer Char"/>
    <w:link w:val="15"/>
    <w:qFormat/>
    <w:uiPriority w:val="99"/>
    <w:rPr>
      <w:rFonts w:ascii="Times New Roman" w:hAnsi="Times New Roman" w:eastAsia="Times New Roman" w:cs="Times New Roman"/>
      <w:kern w:val="0"/>
      <w:sz w:val="18"/>
      <w:szCs w:val="18"/>
      <w:lang w:eastAsia="en-US"/>
    </w:rPr>
  </w:style>
  <w:style w:type="character" w:customStyle="1" w:styleId="31">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2">
    <w:name w:val="List Paragraph"/>
    <w:basedOn w:val="1"/>
    <w:link w:val="48"/>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Document Map Char"/>
    <w:link w:val="10"/>
    <w:semiHidden/>
    <w:qFormat/>
    <w:uiPriority w:val="99"/>
    <w:rPr>
      <w:rFonts w:ascii="宋体" w:hAnsi="Times New Roman"/>
      <w:sz w:val="18"/>
      <w:szCs w:val="18"/>
      <w:lang w:eastAsia="en-US"/>
    </w:rPr>
  </w:style>
  <w:style w:type="paragraph" w:customStyle="1" w:styleId="34">
    <w:name w:val="B1"/>
    <w:basedOn w:val="8"/>
    <w:link w:val="35"/>
    <w:qFormat/>
    <w:uiPriority w:val="0"/>
    <w:pPr>
      <w:spacing w:after="180"/>
      <w:ind w:left="568" w:hanging="284" w:firstLineChars="0"/>
      <w:contextualSpacing w:val="0"/>
    </w:pPr>
    <w:rPr>
      <w:rFonts w:eastAsia="宋体"/>
      <w:szCs w:val="20"/>
      <w:lang w:val="en-GB"/>
    </w:rPr>
  </w:style>
  <w:style w:type="character" w:customStyle="1" w:styleId="35">
    <w:name w:val="B1 (文字)"/>
    <w:link w:val="34"/>
    <w:qFormat/>
    <w:locked/>
    <w:uiPriority w:val="0"/>
    <w:rPr>
      <w:rFonts w:ascii="Times New Roman" w:hAnsi="Times New Roman"/>
      <w:lang w:val="en-GB" w:eastAsia="en-US"/>
    </w:rPr>
  </w:style>
  <w:style w:type="character" w:customStyle="1" w:styleId="36">
    <w:name w:val="B1 Char1"/>
    <w:qFormat/>
    <w:uiPriority w:val="0"/>
    <w:rPr>
      <w:lang w:val="en-GB" w:eastAsia="en-US"/>
    </w:rPr>
  </w:style>
  <w:style w:type="paragraph" w:customStyle="1" w:styleId="37">
    <w:name w:val="TAH"/>
    <w:basedOn w:val="38"/>
    <w:link w:val="43"/>
    <w:qFormat/>
    <w:uiPriority w:val="0"/>
    <w:rPr>
      <w:b/>
    </w:rPr>
  </w:style>
  <w:style w:type="paragraph" w:customStyle="1" w:styleId="38">
    <w:name w:val="TAC"/>
    <w:basedOn w:val="39"/>
    <w:link w:val="42"/>
    <w:qFormat/>
    <w:uiPriority w:val="0"/>
    <w:pPr>
      <w:keepNext/>
      <w:keepLines/>
      <w:jc w:val="center"/>
    </w:pPr>
    <w:rPr>
      <w:rFonts w:ascii="Arial" w:hAnsi="Arial" w:eastAsia="宋体"/>
      <w:sz w:val="18"/>
      <w:szCs w:val="20"/>
      <w:lang w:val="en-GB" w:eastAsia="zh-CN"/>
    </w:rPr>
  </w:style>
  <w:style w:type="paragraph" w:customStyle="1" w:styleId="39">
    <w:name w:val="TAL"/>
    <w:basedOn w:val="1"/>
    <w:link w:val="52"/>
    <w:qFormat/>
    <w:uiPriority w:val="0"/>
    <w:pPr>
      <w:keepNext/>
      <w:keepLines/>
    </w:pPr>
    <w:rPr>
      <w:rFonts w:ascii="Arial" w:hAnsi="Arial" w:eastAsia="宋体"/>
      <w:sz w:val="18"/>
      <w:szCs w:val="20"/>
      <w:lang w:val="en-GB"/>
    </w:rPr>
  </w:style>
  <w:style w:type="paragraph" w:customStyle="1" w:styleId="40">
    <w:name w:val="TH"/>
    <w:basedOn w:val="1"/>
    <w:link w:val="41"/>
    <w:qFormat/>
    <w:uiPriority w:val="0"/>
    <w:pPr>
      <w:keepNext/>
      <w:keepLines/>
      <w:spacing w:before="60" w:after="180"/>
      <w:jc w:val="center"/>
    </w:pPr>
    <w:rPr>
      <w:rFonts w:ascii="Arial" w:hAnsi="Arial" w:eastAsia="宋体"/>
      <w:b/>
      <w:szCs w:val="20"/>
      <w:lang w:val="en-GB" w:eastAsia="zh-CN"/>
    </w:rPr>
  </w:style>
  <w:style w:type="character" w:customStyle="1" w:styleId="41">
    <w:name w:val="TH Char"/>
    <w:link w:val="40"/>
    <w:qFormat/>
    <w:uiPriority w:val="0"/>
    <w:rPr>
      <w:rFonts w:ascii="Arial" w:hAnsi="Arial" w:eastAsia="宋体"/>
      <w:b/>
      <w:lang w:val="en-GB" w:eastAsia="zh-CN"/>
    </w:rPr>
  </w:style>
  <w:style w:type="character" w:customStyle="1" w:styleId="42">
    <w:name w:val="TAC Char"/>
    <w:link w:val="38"/>
    <w:qFormat/>
    <w:uiPriority w:val="0"/>
    <w:rPr>
      <w:rFonts w:ascii="Arial" w:hAnsi="Arial" w:eastAsia="宋体"/>
      <w:sz w:val="18"/>
      <w:lang w:val="en-GB" w:eastAsia="zh-CN"/>
    </w:rPr>
  </w:style>
  <w:style w:type="character" w:customStyle="1" w:styleId="43">
    <w:name w:val="TAH Car"/>
    <w:link w:val="37"/>
    <w:qFormat/>
    <w:uiPriority w:val="0"/>
    <w:rPr>
      <w:rFonts w:ascii="Arial" w:hAnsi="Arial" w:eastAsia="宋体"/>
      <w:b/>
      <w:sz w:val="18"/>
      <w:lang w:val="en-GB" w:eastAsia="zh-CN"/>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5">
    <w:name w:val="TAR"/>
    <w:basedOn w:val="1"/>
    <w:qFormat/>
    <w:uiPriority w:val="0"/>
    <w:pPr>
      <w:keepNext/>
      <w:keepLines/>
      <w:jc w:val="right"/>
    </w:pPr>
    <w:rPr>
      <w:rFonts w:ascii="Arial" w:hAnsi="Arial" w:eastAsia="宋体"/>
      <w:sz w:val="18"/>
      <w:szCs w:val="20"/>
      <w:lang w:val="en-GB"/>
    </w:rPr>
  </w:style>
  <w:style w:type="paragraph" w:customStyle="1" w:styleId="46">
    <w:name w:val="RAN4 proposal"/>
    <w:basedOn w:val="9"/>
    <w:next w:val="1"/>
    <w:link w:val="47"/>
    <w:qFormat/>
    <w:uiPriority w:val="0"/>
    <w:pPr>
      <w:numPr>
        <w:ilvl w:val="0"/>
        <w:numId w:val="2"/>
      </w:numPr>
      <w:spacing w:after="200"/>
      <w:ind w:left="0" w:firstLine="0"/>
    </w:pPr>
    <w:rPr>
      <w:rFonts w:ascii="Times New Roman" w:hAnsi="Times New Roman" w:eastAsia="宋体"/>
      <w:b/>
      <w:iCs/>
      <w:szCs w:val="18"/>
    </w:rPr>
  </w:style>
  <w:style w:type="character" w:customStyle="1" w:styleId="47">
    <w:name w:val="RAN4 proposal Char"/>
    <w:link w:val="46"/>
    <w:qFormat/>
    <w:uiPriority w:val="0"/>
    <w:rPr>
      <w:rFonts w:ascii="Times New Roman" w:hAnsi="Times New Roman"/>
      <w:b/>
      <w:iCs/>
      <w:szCs w:val="18"/>
      <w:lang w:eastAsia="en-US"/>
    </w:rPr>
  </w:style>
  <w:style w:type="character" w:customStyle="1" w:styleId="48">
    <w:name w:val="List Paragraph Char"/>
    <w:link w:val="32"/>
    <w:qFormat/>
    <w:uiPriority w:val="34"/>
    <w:rPr>
      <w:kern w:val="2"/>
      <w:sz w:val="21"/>
      <w:szCs w:val="22"/>
    </w:rPr>
  </w:style>
  <w:style w:type="character" w:customStyle="1" w:styleId="49">
    <w:name w:val="ZGSM"/>
    <w:qFormat/>
    <w:uiPriority w:val="0"/>
  </w:style>
  <w:style w:type="character" w:customStyle="1" w:styleId="50">
    <w:name w:val="Date Char"/>
    <w:link w:val="13"/>
    <w:semiHidden/>
    <w:qFormat/>
    <w:uiPriority w:val="99"/>
    <w:rPr>
      <w:rFonts w:ascii="Times New Roman" w:hAnsi="Times New Roman" w:eastAsia="Times New Roman"/>
      <w:szCs w:val="24"/>
      <w:lang w:eastAsia="en-US"/>
    </w:rPr>
  </w:style>
  <w:style w:type="paragraph" w:customStyle="1" w:styleId="51">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2">
    <w:name w:val="TAL Char"/>
    <w:link w:val="39"/>
    <w:qFormat/>
    <w:uiPriority w:val="0"/>
    <w:rPr>
      <w:rFonts w:ascii="Arial" w:hAnsi="Arial"/>
      <w:sz w:val="18"/>
      <w:lang w:val="en-GB" w:eastAsia="en-US"/>
    </w:rPr>
  </w:style>
  <w:style w:type="character" w:customStyle="1" w:styleId="53">
    <w:name w:val="Heading 3 Char"/>
    <w:link w:val="4"/>
    <w:qFormat/>
    <w:uiPriority w:val="9"/>
    <w:rPr>
      <w:rFonts w:ascii="Times New Roman" w:hAnsi="Times New Roman" w:eastAsia="Times New Roman"/>
      <w:b/>
      <w:bCs/>
      <w:sz w:val="32"/>
      <w:szCs w:val="32"/>
      <w:lang w:eastAsia="en-US"/>
    </w:rPr>
  </w:style>
  <w:style w:type="character" w:customStyle="1" w:styleId="54">
    <w:name w:val="TAL Car"/>
    <w:qFormat/>
    <w:uiPriority w:val="0"/>
    <w:rPr>
      <w:rFonts w:ascii="Arial" w:hAnsi="Arial" w:eastAsia="Times New Roman" w:cs="Times New Roman"/>
      <w:kern w:val="0"/>
      <w:sz w:val="18"/>
      <w:szCs w:val="20"/>
      <w:lang w:val="en-GB" w:eastAsia="ko-KR"/>
    </w:rPr>
  </w:style>
  <w:style w:type="paragraph" w:customStyle="1" w:styleId="55">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6">
    <w:name w:val="TAN"/>
    <w:basedOn w:val="39"/>
    <w:qFormat/>
    <w:uiPriority w:val="0"/>
    <w:pPr>
      <w:ind w:left="851" w:hanging="851"/>
    </w:pPr>
  </w:style>
  <w:style w:type="character" w:customStyle="1" w:styleId="57">
    <w:name w:val="normaltextrun"/>
    <w:basedOn w:val="22"/>
    <w:qFormat/>
    <w:uiPriority w:val="0"/>
  </w:style>
  <w:style w:type="character" w:customStyle="1" w:styleId="58">
    <w:name w:val="eop"/>
    <w:basedOn w:val="22"/>
    <w:qFormat/>
    <w:uiPriority w:val="0"/>
  </w:style>
  <w:style w:type="paragraph" w:customStyle="1" w:styleId="59">
    <w:name w:val="paragraph"/>
    <w:basedOn w:val="1"/>
    <w:qFormat/>
    <w:uiPriority w:val="0"/>
    <w:pPr>
      <w:spacing w:before="100" w:beforeAutospacing="1" w:after="100" w:afterAutospacing="1"/>
    </w:pPr>
    <w:rPr>
      <w:rFonts w:eastAsia="Times New Roman"/>
      <w:sz w:val="24"/>
      <w:szCs w:val="24"/>
    </w:rPr>
  </w:style>
  <w:style w:type="paragraph" w:customStyle="1" w:styleId="60">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2">
    <w:name w:val="B2"/>
    <w:basedOn w:val="7"/>
    <w:qFormat/>
    <w:uiPriority w:val="0"/>
  </w:style>
  <w:style w:type="paragraph" w:customStyle="1" w:styleId="63">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4">
    <w:name w:val="스타일 스타일 스타일 스타일 양쪽 첫 줄:  2 글자 + 첫 줄:  2 글자 + 첫 줄:  2 글자 + 첫 줄:  2..."/>
    <w:basedOn w:val="65"/>
    <w:qFormat/>
    <w:uiPriority w:val="0"/>
    <w:pPr>
      <w:spacing w:line="336" w:lineRule="auto"/>
    </w:pPr>
  </w:style>
  <w:style w:type="paragraph" w:customStyle="1" w:styleId="65">
    <w:name w:val="스타일 스타일 스타일 양쪽 첫 줄:  2 글자 + 첫 줄:  2 글자 + 첫 줄:  2 글자"/>
    <w:basedOn w:val="66"/>
    <w:qFormat/>
    <w:uiPriority w:val="0"/>
    <w:pPr>
      <w:spacing w:line="312" w:lineRule="auto"/>
    </w:pPr>
  </w:style>
  <w:style w:type="paragraph" w:customStyle="1" w:styleId="66">
    <w:name w:val="스타일 스타일 양쪽 첫 줄:  2 글자 + 첫 줄:  2 글자"/>
    <w:basedOn w:val="67"/>
    <w:qFormat/>
    <w:uiPriority w:val="0"/>
    <w:pPr>
      <w:spacing w:line="300" w:lineRule="auto"/>
    </w:pPr>
  </w:style>
  <w:style w:type="paragraph" w:customStyle="1" w:styleId="67">
    <w:name w:val="스타일 양쪽 첫 줄:  2 글자"/>
    <w:basedOn w:val="1"/>
    <w:qFormat/>
    <w:uiPriority w:val="0"/>
    <w:pPr>
      <w:spacing w:line="288" w:lineRule="auto"/>
      <w:ind w:firstLine="200" w:firstLineChars="200"/>
      <w:jc w:val="both"/>
    </w:pPr>
    <w:rPr>
      <w:rFonts w:cs="Batang"/>
    </w:rPr>
  </w:style>
  <w:style w:type="paragraph" w:customStyle="1" w:styleId="68">
    <w:name w:val="Reference"/>
    <w:basedOn w:val="12"/>
    <w:qFormat/>
    <w:locked/>
    <w:uiPriority w:val="99"/>
    <w:pPr>
      <w:numPr>
        <w:ilvl w:val="0"/>
        <w:numId w:val="3"/>
      </w:numPr>
    </w:pPr>
  </w:style>
  <w:style w:type="paragraph" w:customStyle="1" w:styleId="69">
    <w:name w:val="B3"/>
    <w:basedOn w:val="6"/>
    <w:qFormat/>
    <w:uiPriority w:val="0"/>
  </w:style>
  <w:style w:type="paragraph" w:customStyle="1" w:styleId="70">
    <w:name w:val="样式3"/>
    <w:basedOn w:val="32"/>
    <w:qFormat/>
    <w:uiPriority w:val="0"/>
    <w:pPr>
      <w:numPr>
        <w:ilvl w:val="1"/>
        <w:numId w:val="4"/>
      </w:numPr>
      <w:spacing w:after="120"/>
      <w:ind w:firstLine="0"/>
    </w:pPr>
    <w:rPr>
      <w:rFonts w:ascii="Times New Roman" w:hAnsi="Times New Roman" w:eastAsia="宋体" w:cs="Times New Roman"/>
      <w:sz w:val="20"/>
      <w:szCs w:val="24"/>
      <w:lang w:val="en-GB"/>
    </w:rPr>
  </w:style>
  <w:style w:type="paragraph" w:customStyle="1" w:styleId="71">
    <w:name w:val="B4"/>
    <w:basedOn w:val="18"/>
    <w:qFormat/>
    <w:uiPriority w:val="0"/>
  </w:style>
  <w:style w:type="paragraph" w:customStyle="1" w:styleId="72">
    <w:name w:val="B5"/>
    <w:basedOn w:val="17"/>
    <w:qFormat/>
    <w:uiPriority w:val="0"/>
  </w:style>
  <w:style w:type="paragraph" w:customStyle="1" w:styleId="73">
    <w:name w:val="B6"/>
    <w:basedOn w:val="72"/>
    <w:qFormat/>
    <w:uiPriority w:val="0"/>
    <w:pPr>
      <w:overflowPunct w:val="0"/>
      <w:autoSpaceDE w:val="0"/>
      <w:autoSpaceDN w:val="0"/>
      <w:adjustRightInd w:val="0"/>
      <w:ind w:left="1985"/>
      <w:textAlignment w:val="baseline"/>
    </w:pPr>
    <w:rPr>
      <w:rFonts w:eastAsia="Times New Roman"/>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548</Words>
  <Characters>3128</Characters>
  <Lines>26</Lines>
  <Paragraphs>7</Paragraphs>
  <TotalTime>3</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2025-11-07T17:17:37Z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